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si scrive o si tenta di scrivere un canto?...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Dire con musica e parole qualcosa;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parole se ne usano tante,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musica aiuta ad ascoltarle.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forse è più forte la melodia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 senso compiuto di una frase.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sogno: campo guide in Brianza,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pare, verso gli inizi degli anni ‘90;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primi campi, primi amici, prime serate.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Serviva qualcosa per la buona notte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dopo una giornata di lavoro.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so se l’intento è riuscito,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sicuramente scrivere aiuta a chiarire le idee,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capire se la vita di altre persone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può portare la tua a delle scelte.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